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宋体"/>
          <w:b/>
          <w:bCs/>
          <w:sz w:val="28"/>
          <w:szCs w:val="28"/>
          <w:lang w:eastAsia="zh-CN"/>
        </w:rPr>
      </w:pPr>
      <w:r>
        <w:rPr>
          <w:rFonts w:hint="eastAsia" w:ascii="黑体" w:hAnsi="黑体" w:eastAsia="黑体" w:cs="宋体"/>
          <w:b/>
          <w:bCs/>
          <w:sz w:val="28"/>
          <w:szCs w:val="28"/>
        </w:rPr>
        <w:t>附件</w:t>
      </w:r>
      <w:r>
        <w:rPr>
          <w:rFonts w:hint="eastAsia" w:ascii="黑体" w:hAnsi="黑体" w:eastAsia="黑体" w:cs="宋体"/>
          <w:b/>
          <w:bCs/>
          <w:sz w:val="28"/>
          <w:szCs w:val="28"/>
          <w:lang w:val="en-US" w:eastAsia="zh-CN"/>
        </w:rPr>
        <w:t>1</w:t>
      </w:r>
    </w:p>
    <w:p>
      <w:pPr>
        <w:spacing w:line="600" w:lineRule="exact"/>
        <w:jc w:val="center"/>
        <w:textAlignment w:val="baseline"/>
        <w:rPr>
          <w:rFonts w:ascii="方正小标宋_GBK" w:eastAsia="方正小标宋_GBK"/>
          <w:sz w:val="44"/>
        </w:rPr>
      </w:pPr>
      <w:r>
        <w:rPr>
          <w:rFonts w:hint="eastAsia" w:ascii="方正小标宋_GBK" w:eastAsia="方正小标宋_GBK"/>
          <w:sz w:val="44"/>
        </w:rPr>
        <w:t>国网经济技术研究院有限公司2022年社会招聘岗位及资格条件情况表</w:t>
      </w:r>
    </w:p>
    <w:tbl>
      <w:tblPr>
        <w:tblStyle w:val="5"/>
        <w:tblW w:w="13966" w:type="dxa"/>
        <w:jc w:val="center"/>
        <w:tblInd w:w="0" w:type="dxa"/>
        <w:tblLayout w:type="fixed"/>
        <w:tblCellMar>
          <w:top w:w="0" w:type="dxa"/>
          <w:left w:w="108" w:type="dxa"/>
          <w:bottom w:w="0" w:type="dxa"/>
          <w:right w:w="108" w:type="dxa"/>
        </w:tblCellMar>
      </w:tblPr>
      <w:tblGrid>
        <w:gridCol w:w="559"/>
        <w:gridCol w:w="1289"/>
        <w:gridCol w:w="1157"/>
        <w:gridCol w:w="500"/>
        <w:gridCol w:w="1068"/>
        <w:gridCol w:w="1439"/>
        <w:gridCol w:w="3802"/>
        <w:gridCol w:w="4152"/>
      </w:tblGrid>
      <w:tr>
        <w:tblPrEx>
          <w:tblLayout w:type="fixed"/>
          <w:tblCellMar>
            <w:top w:w="0" w:type="dxa"/>
            <w:left w:w="108" w:type="dxa"/>
            <w:bottom w:w="0" w:type="dxa"/>
            <w:right w:w="108" w:type="dxa"/>
          </w:tblCellMar>
        </w:tblPrEx>
        <w:trPr>
          <w:trHeight w:val="294" w:hRule="atLeast"/>
          <w:tblHeader/>
          <w:jc w:val="center"/>
        </w:trPr>
        <w:tc>
          <w:tcPr>
            <w:tcW w:w="55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序号</w:t>
            </w:r>
          </w:p>
        </w:tc>
        <w:tc>
          <w:tcPr>
            <w:tcW w:w="12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部门</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w:t>
            </w:r>
          </w:p>
          <w:p>
            <w:pPr>
              <w:autoSpaceDE w:val="0"/>
              <w:autoSpaceDN w:val="0"/>
              <w:jc w:val="center"/>
              <w:rPr>
                <w:rFonts w:ascii="仿宋_GB2312" w:hAnsi="方正仿宋_GBK" w:eastAsia="仿宋_GB2312"/>
                <w:b/>
              </w:rPr>
            </w:pPr>
            <w:r>
              <w:rPr>
                <w:rFonts w:hint="eastAsia" w:ascii="仿宋_GB2312" w:hAnsi="方正仿宋_GBK" w:eastAsia="仿宋_GB2312"/>
                <w:b/>
              </w:rPr>
              <w:t>名称</w:t>
            </w:r>
          </w:p>
        </w:tc>
        <w:tc>
          <w:tcPr>
            <w:tcW w:w="50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人数</w:t>
            </w:r>
          </w:p>
        </w:tc>
        <w:tc>
          <w:tcPr>
            <w:tcW w:w="106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学历要求</w:t>
            </w:r>
          </w:p>
        </w:tc>
        <w:tc>
          <w:tcPr>
            <w:tcW w:w="143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专业要求</w:t>
            </w:r>
          </w:p>
        </w:tc>
        <w:tc>
          <w:tcPr>
            <w:tcW w:w="38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岗位职责</w:t>
            </w:r>
          </w:p>
        </w:tc>
        <w:tc>
          <w:tcPr>
            <w:tcW w:w="415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_GB2312" w:hAnsi="方正仿宋_GBK" w:eastAsia="仿宋_GB2312"/>
                <w:b/>
              </w:rPr>
            </w:pPr>
            <w:r>
              <w:rPr>
                <w:rFonts w:hint="eastAsia" w:ascii="仿宋_GB2312" w:hAnsi="方正仿宋_GBK" w:eastAsia="仿宋_GB2312"/>
                <w:b/>
              </w:rPr>
              <w:t>任职资格要求</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输电网规划中心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输电网规划专责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电气工程、电力系统及其自动化、新能源科学与工程等相关专业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负责承担国家及区域电力系统、电网发展规划研究；负责新型电力系统发展路径、关键技术及方案研究；负责开展跨省、区重点电网项目前期研究论证。</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40周岁及以下；3年及以上相关工作经验；熟悉电力系统规划基本理论，熟练掌握BPA、PSASP等电气计算工具；具有区域电网规划或新能源、储能研究经验者优先；具有较强的电网分析和文字表达能力。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2</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配电网规划设计中心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配电网工程设计专责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负责配电网工程设计设备标准化及应用研究；负责储能、电动汽车充换电接入设计研究；负责配电网工程设计咨询。</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40周岁及以下；3年及以上相关工作经验；对配电网设备（含一二次设备）和工程设计有比较全面的掌握和了解。</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3</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配电网规划设计中心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配电网规划专责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负责配电网规划技术研究；负责分布式电源接入技术研究;负责新型配电系统总体技术方案制定、综合能源系统及新能源微电网规划设计。</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40周岁及以下；3年及以上相关工作经验；熟练掌握新能源微电网、综合能源系统规划等技术；熟悉配电网规划设计相关工具软件，参与过地区配电网规划编制相关工作，具备较强的沟通能力和文字表达能力。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4</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自动化及控制设计研究中心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自动化及控制规划评审专责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电力系统及其自动化、继电保护等相关专业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负责开展电网调度自动化、配电自动化、继电保护及变电站电气二次等相关工作，包括科研、二次专项规划、设计方案优化、评审等内容；负责适应新形态演变趋势的二次系统新型系统架构顶层设计研究。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40周岁及以下；3年及以上相关工作经验；熟悉新型电力系统下控制保护原理及其应用技术；熟悉二次专项规划工作流程，有输变电工程设计评审工作经历；具有较强的组织协调及文字表达能力。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5</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变电一次设计专责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负责特高压变电（含换流站）工程设计牵头、变电电气相关科研课题，以及变电站设计咨询等相关工作。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40周岁及以下；3年及以上相关工作经验；在变电站电气设计方面具有丰富、全面的经验；有特高压工程设计经验或设计管理经验。</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6</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水电工程设计专责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水利水电工程等相关专业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负责抽水蓄能电站、常规水电工程设计咨询、研究及管理等工作。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水电工程特别是抽水蓄能电站工程技术咨询工作经验；拥有多个抽水蓄能电站可研阶段各专题咨询业绩；熟悉水能规划、水工结构，具备开展水电工程特别是抽水蓄能电站工程建设全过程技术咨询的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7</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变电土建建筑设计专责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建筑学、建筑工程等相关专业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负责电网变电土建绿色建造、智能化建设研究；负责变电土建相关专业标准化编制工作；负责重大工程变电土建设计牵头工作等。</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具有一级注册建筑师资格证书；对变电土建总图、建筑、水工、暖通等专业知识有比较全面的掌握和了解；对变电土建相关技术难点有科研经验及成果；对特高压工程变电土建相关专业有设计或牵头设计经验。</w:t>
            </w:r>
          </w:p>
        </w:tc>
      </w:tr>
      <w:tr>
        <w:tblPrEx>
          <w:tblLayout w:type="fixed"/>
          <w:tblCellMar>
            <w:top w:w="0" w:type="dxa"/>
            <w:left w:w="108" w:type="dxa"/>
            <w:bottom w:w="0" w:type="dxa"/>
            <w:right w:w="108" w:type="dxa"/>
          </w:tblCellMar>
        </w:tblPrEx>
        <w:trPr>
          <w:trHeight w:val="501"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8</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送电结构设计专责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结构工程、土建专业等相关专业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负责特高压线路牵头设计及管理、设计咨询评审、科技项目研究及设计支撑服务等工作。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40周岁及以下；3年及以上相关工作经验；对送电线路的杆塔、基础设计等相关知识有比较全面的掌握和了解；有特高压线路设计经验者优先。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9</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设计咨询中心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变电土建结构设计专责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结构工程、土木工程等相关专业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负责电网变电工程土建设计牵头；负责变电土建相关科技项目研究、设计咨询等工作。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40周岁及以下；3年及以上相关工作经验；对变电工程土建专业设计、施工有全面的了解和掌握。</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10</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直流技术咨询中心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成套设计专责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负责直流工程成套设计工作；负责新型电力系统相关的直流技术研发工作。</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40周岁及以下；3年及以上相关工作经验；了解直流成套设计及相关直流系统、设备知识。</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11</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技术经济中心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水电造价管理专责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工程管理、水利水电工程管理、技术经济等相关专业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负责抽水蓄能电站新建、生产技改、大修项目技术经济分析和评审工作；负责抽水蓄能电站重大检修及技改项目后评价工作；开展建设项目重大合同变更审查；负责组织编制抽水蓄能造价相关管理标准。</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水电工程造价管理相关工作经验，参与多个水电站项目技经工作，完整参与1个以上抽水蓄能电站项目技经工作；具有水电编规、定额编制以及水电项目技经审查相关工作经历者优先，具有“全国一级造价工程师职业资格”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12</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工程数据中心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电力工程建设数字化技术专责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电气工程、电力系统及其自动化等相关专业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负责电网工程建设数字化技术及应用研究；负责特高压工程数字化移交；负责电网工程、发电工程、新能源工程BIM技术国产化技术研究、应用及生态体系建设。</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40周岁及以下；3年及以上电力工程数字化设计相关工作经验；对电力工程设计、施工、运维相关知识有比较全面的掌握和了解；担任过特高压或发电工程设总者优先。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13</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工程数据中心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电网工程运维数字化与大数据管理专责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计算机科学与技术、软件工程等信息技术类相关专业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负责电网工程运维数字化技术及应用研究；负责智能运检（数字孪生）业务拓展与实施；负责国产BIM技术在运维环节的应用研究。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40周岁及以下；3年及以上电网智能运检及电力GIS地理信息技术应用相关工作经验；对电网运维相关知识有比较全面的掌握和了解；具备输变电工程数字孪生项目经验，担任过三维数据管理平台研发负责人者优先。</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14</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新能源及综合能源技术中心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综合能源规划研究咨询专责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全日制硕士研究生及以上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动力工程及工程热物理、能源动力、热能工程、动力机械及工程等相关专业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负责支撑新型电力系统下碳达峰、碳中和研究，负责常规能源与高比例可再生能源的协同规划研究，负责电、热、气、储等综合能源与电网协调规划领域的研究与咨询。</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left"/>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40周岁及以下；3年及以上相关工作经验；熟悉电力、热力及综合能源系统规划基本理论，具备综合能源系统建模能力，具有综合能源领域科研咨询工作经验，具有较强的综合能源系统分析和文字表达能力。</w:t>
            </w:r>
          </w:p>
        </w:tc>
      </w:tr>
      <w:tr>
        <w:tblPrEx>
          <w:tblLayout w:type="fixed"/>
          <w:tblCellMar>
            <w:top w:w="0" w:type="dxa"/>
            <w:left w:w="108" w:type="dxa"/>
            <w:bottom w:w="0" w:type="dxa"/>
            <w:right w:w="108" w:type="dxa"/>
          </w:tblCellMar>
        </w:tblPrEx>
        <w:trPr>
          <w:trHeight w:val="1416" w:hRule="atLeast"/>
          <w:jc w:val="center"/>
        </w:trPr>
        <w:tc>
          <w:tcPr>
            <w:tcW w:w="559"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color w:val="000000"/>
                <w:kern w:val="0"/>
                <w:sz w:val="24"/>
                <w:lang w:bidi="ar"/>
              </w:rPr>
              <w:t>15</w:t>
            </w:r>
          </w:p>
        </w:tc>
        <w:tc>
          <w:tcPr>
            <w:tcW w:w="1289" w:type="dxa"/>
            <w:tcBorders>
              <w:top w:val="single" w:color="auto" w:sz="6" w:space="0"/>
              <w:left w:val="single" w:color="auto" w:sz="6" w:space="0"/>
              <w:bottom w:val="single" w:color="auto" w:sz="6" w:space="0"/>
              <w:right w:val="single" w:color="auto" w:sz="6" w:space="0"/>
            </w:tcBorders>
            <w:vAlign w:val="center"/>
          </w:tcPr>
          <w:p>
            <w:pPr>
              <w:widowControl/>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color w:val="000000"/>
                <w:kern w:val="0"/>
                <w:sz w:val="24"/>
                <w:lang w:bidi="ar"/>
              </w:rPr>
              <w:t>新能源及综合能源技术中心</w:t>
            </w:r>
          </w:p>
        </w:tc>
        <w:tc>
          <w:tcPr>
            <w:tcW w:w="115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新能源及网源荷储协同规划研究专责</w:t>
            </w:r>
          </w:p>
        </w:tc>
        <w:tc>
          <w:tcPr>
            <w:tcW w:w="50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6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全日制硕士研究</w:t>
            </w:r>
            <w:bookmarkStart w:id="0" w:name="_GoBack"/>
            <w:bookmarkEnd w:id="0"/>
            <w:r>
              <w:rPr>
                <w:rFonts w:hint="eastAsia" w:ascii="方正仿宋_GBK" w:hAnsi="方正仿宋_GBK" w:eastAsia="方正仿宋_GBK" w:cs="方正仿宋_GBK"/>
                <w:i w:val="0"/>
                <w:color w:val="000000"/>
                <w:kern w:val="0"/>
                <w:sz w:val="24"/>
                <w:szCs w:val="24"/>
                <w:u w:val="none"/>
                <w:lang w:val="en-US" w:eastAsia="zh-CN" w:bidi="ar"/>
              </w:rPr>
              <w:t>生以上</w:t>
            </w:r>
          </w:p>
        </w:tc>
        <w:tc>
          <w:tcPr>
            <w:tcW w:w="1439"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电力系统及其自动化、热能与动力工程或新能源科学与工程等相关专业</w:t>
            </w:r>
          </w:p>
        </w:tc>
        <w:tc>
          <w:tcPr>
            <w:tcW w:w="380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color w:val="000000"/>
                <w:kern w:val="0"/>
                <w:sz w:val="24"/>
                <w:lang w:bidi="ar"/>
              </w:rPr>
            </w:pPr>
            <w:r>
              <w:rPr>
                <w:rFonts w:hint="eastAsia" w:ascii="方正仿宋_GBK" w:hAnsi="方正仿宋_GBK" w:eastAsia="方正仿宋_GBK" w:cs="方正仿宋_GBK"/>
                <w:i w:val="0"/>
                <w:color w:val="000000"/>
                <w:kern w:val="0"/>
                <w:sz w:val="24"/>
                <w:szCs w:val="24"/>
                <w:u w:val="none"/>
                <w:lang w:val="en-US" w:eastAsia="zh-CN" w:bidi="ar"/>
              </w:rPr>
              <w:t>负责风电、光伏、储能等新能源项目的前期咨询、国家重点项目评审；负责电化学储能、火电灵活性改造、抽水蓄能、电能替代等网源荷储协同规划调度问题研究。</w:t>
            </w:r>
          </w:p>
        </w:tc>
        <w:tc>
          <w:tcPr>
            <w:tcW w:w="4152"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400" w:lineRule="exact"/>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i w:val="0"/>
                <w:color w:val="000000"/>
                <w:kern w:val="0"/>
                <w:sz w:val="24"/>
                <w:szCs w:val="24"/>
                <w:u w:val="none"/>
                <w:lang w:val="en-US" w:eastAsia="zh-CN" w:bidi="ar"/>
              </w:rPr>
              <w:t>40周岁及以下；3年及以上相关工作经验。熟悉新能源、源网荷储规划运行基本理论；对新能源、电力系统调峰、工程经济等有较全面掌握和了解；具有较强的组织协调和文字表达能力。</w:t>
            </w:r>
          </w:p>
        </w:tc>
      </w:tr>
    </w:tbl>
    <w:p>
      <w:pPr>
        <w:spacing w:line="600" w:lineRule="exact"/>
        <w:jc w:val="left"/>
        <w:textAlignment w:val="baseline"/>
        <w:rPr>
          <w:rFonts w:ascii="方正仿宋_GBK" w:hAnsi="方正仿宋_GBK" w:eastAsia="方正仿宋_GBK" w:cs="方正仿宋_GBK"/>
          <w:sz w:val="24"/>
        </w:rPr>
      </w:pPr>
    </w:p>
    <w:sectPr>
      <w:pgSz w:w="16838" w:h="11906" w:orient="landscape"/>
      <w:pgMar w:top="1800"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CF"/>
    <w:rsid w:val="000E2ECF"/>
    <w:rsid w:val="0019047B"/>
    <w:rsid w:val="002921AE"/>
    <w:rsid w:val="0048530D"/>
    <w:rsid w:val="00602FB9"/>
    <w:rsid w:val="00736E5A"/>
    <w:rsid w:val="00901426"/>
    <w:rsid w:val="009A3F14"/>
    <w:rsid w:val="00A07597"/>
    <w:rsid w:val="00B52601"/>
    <w:rsid w:val="00C35B16"/>
    <w:rsid w:val="00C36168"/>
    <w:rsid w:val="00EC3018"/>
    <w:rsid w:val="00F00E93"/>
    <w:rsid w:val="00F439AB"/>
    <w:rsid w:val="014D4712"/>
    <w:rsid w:val="01CC1EC5"/>
    <w:rsid w:val="0209368C"/>
    <w:rsid w:val="026F3CD7"/>
    <w:rsid w:val="036B6291"/>
    <w:rsid w:val="03990B1D"/>
    <w:rsid w:val="03B46F03"/>
    <w:rsid w:val="03E165B4"/>
    <w:rsid w:val="04474E90"/>
    <w:rsid w:val="047D3F19"/>
    <w:rsid w:val="04ED28E3"/>
    <w:rsid w:val="05044BCF"/>
    <w:rsid w:val="051E2F93"/>
    <w:rsid w:val="0581585A"/>
    <w:rsid w:val="05940E87"/>
    <w:rsid w:val="05A64BBB"/>
    <w:rsid w:val="065D6F07"/>
    <w:rsid w:val="06655F35"/>
    <w:rsid w:val="06874E6D"/>
    <w:rsid w:val="06C963A2"/>
    <w:rsid w:val="06F910CD"/>
    <w:rsid w:val="072D0704"/>
    <w:rsid w:val="073873AF"/>
    <w:rsid w:val="077F0A01"/>
    <w:rsid w:val="081C6BA8"/>
    <w:rsid w:val="08CD7526"/>
    <w:rsid w:val="092631D8"/>
    <w:rsid w:val="09BC2A1F"/>
    <w:rsid w:val="09D44B25"/>
    <w:rsid w:val="09E22590"/>
    <w:rsid w:val="0A5F2AAE"/>
    <w:rsid w:val="0A8B6EB9"/>
    <w:rsid w:val="0BE67A4B"/>
    <w:rsid w:val="0CDE4330"/>
    <w:rsid w:val="0CFD10F6"/>
    <w:rsid w:val="0E6E6554"/>
    <w:rsid w:val="0EE73260"/>
    <w:rsid w:val="0F7C1E0F"/>
    <w:rsid w:val="0FB6159E"/>
    <w:rsid w:val="10470F7E"/>
    <w:rsid w:val="11383DED"/>
    <w:rsid w:val="1138445F"/>
    <w:rsid w:val="11764FA0"/>
    <w:rsid w:val="11B3153B"/>
    <w:rsid w:val="121361C9"/>
    <w:rsid w:val="12D202B4"/>
    <w:rsid w:val="12DC4972"/>
    <w:rsid w:val="13C82E32"/>
    <w:rsid w:val="1400763E"/>
    <w:rsid w:val="145A681D"/>
    <w:rsid w:val="14E0659E"/>
    <w:rsid w:val="150129D7"/>
    <w:rsid w:val="15481397"/>
    <w:rsid w:val="15505AEE"/>
    <w:rsid w:val="15886EB6"/>
    <w:rsid w:val="159F5144"/>
    <w:rsid w:val="15A31CEB"/>
    <w:rsid w:val="15B638A7"/>
    <w:rsid w:val="15E930AD"/>
    <w:rsid w:val="16871FDB"/>
    <w:rsid w:val="17606378"/>
    <w:rsid w:val="18231034"/>
    <w:rsid w:val="183C15BE"/>
    <w:rsid w:val="18895E3B"/>
    <w:rsid w:val="18C718B1"/>
    <w:rsid w:val="18EC0617"/>
    <w:rsid w:val="19930B33"/>
    <w:rsid w:val="1AA618D5"/>
    <w:rsid w:val="1B7333C7"/>
    <w:rsid w:val="1C3D20A4"/>
    <w:rsid w:val="1C9A66CF"/>
    <w:rsid w:val="1CF2487E"/>
    <w:rsid w:val="1D007409"/>
    <w:rsid w:val="1D030ADC"/>
    <w:rsid w:val="1D090891"/>
    <w:rsid w:val="1D6C36C1"/>
    <w:rsid w:val="1DFF7C0D"/>
    <w:rsid w:val="1E102562"/>
    <w:rsid w:val="1E1458CA"/>
    <w:rsid w:val="1E284839"/>
    <w:rsid w:val="1E2C7FEE"/>
    <w:rsid w:val="1E85040A"/>
    <w:rsid w:val="1F07133C"/>
    <w:rsid w:val="1F412236"/>
    <w:rsid w:val="1FFE0DA3"/>
    <w:rsid w:val="206200D4"/>
    <w:rsid w:val="20862C0F"/>
    <w:rsid w:val="21691C4C"/>
    <w:rsid w:val="229542ED"/>
    <w:rsid w:val="232E2981"/>
    <w:rsid w:val="23363F87"/>
    <w:rsid w:val="239907B7"/>
    <w:rsid w:val="23D81C78"/>
    <w:rsid w:val="23E7761E"/>
    <w:rsid w:val="240B5D51"/>
    <w:rsid w:val="249408C4"/>
    <w:rsid w:val="24A90831"/>
    <w:rsid w:val="250C7B1B"/>
    <w:rsid w:val="250D7E34"/>
    <w:rsid w:val="252B6A42"/>
    <w:rsid w:val="25567A11"/>
    <w:rsid w:val="259533DB"/>
    <w:rsid w:val="26393CAC"/>
    <w:rsid w:val="264C1D7B"/>
    <w:rsid w:val="26746DA9"/>
    <w:rsid w:val="26A3139E"/>
    <w:rsid w:val="26C9348A"/>
    <w:rsid w:val="26DA6545"/>
    <w:rsid w:val="26EB3776"/>
    <w:rsid w:val="26FA30E4"/>
    <w:rsid w:val="28442D66"/>
    <w:rsid w:val="28602335"/>
    <w:rsid w:val="28B621C6"/>
    <w:rsid w:val="293824E4"/>
    <w:rsid w:val="29442326"/>
    <w:rsid w:val="29C52DB1"/>
    <w:rsid w:val="29FF4ECE"/>
    <w:rsid w:val="2A240C10"/>
    <w:rsid w:val="2A455DE7"/>
    <w:rsid w:val="2AEB6DD1"/>
    <w:rsid w:val="2C64615C"/>
    <w:rsid w:val="2E051775"/>
    <w:rsid w:val="2E816AC1"/>
    <w:rsid w:val="2EE02546"/>
    <w:rsid w:val="2F0206C3"/>
    <w:rsid w:val="2F3E31AA"/>
    <w:rsid w:val="2F62619A"/>
    <w:rsid w:val="2FAF31AE"/>
    <w:rsid w:val="300745BA"/>
    <w:rsid w:val="30636049"/>
    <w:rsid w:val="310A4D14"/>
    <w:rsid w:val="31AD20B9"/>
    <w:rsid w:val="32102903"/>
    <w:rsid w:val="359A0F4C"/>
    <w:rsid w:val="359D0765"/>
    <w:rsid w:val="36196604"/>
    <w:rsid w:val="3637076B"/>
    <w:rsid w:val="367A6DB9"/>
    <w:rsid w:val="36A55DA1"/>
    <w:rsid w:val="37116AF9"/>
    <w:rsid w:val="37152755"/>
    <w:rsid w:val="386F7906"/>
    <w:rsid w:val="38DC76FE"/>
    <w:rsid w:val="39AB3713"/>
    <w:rsid w:val="3A0F4E92"/>
    <w:rsid w:val="3A88238E"/>
    <w:rsid w:val="3C7A72CB"/>
    <w:rsid w:val="3D661847"/>
    <w:rsid w:val="3DCE12FD"/>
    <w:rsid w:val="3DFD1080"/>
    <w:rsid w:val="3E017F9B"/>
    <w:rsid w:val="3F595490"/>
    <w:rsid w:val="406A55E9"/>
    <w:rsid w:val="409426DF"/>
    <w:rsid w:val="40BA4150"/>
    <w:rsid w:val="40F3277C"/>
    <w:rsid w:val="41140ED9"/>
    <w:rsid w:val="411A1514"/>
    <w:rsid w:val="4122511B"/>
    <w:rsid w:val="414003DE"/>
    <w:rsid w:val="419227AA"/>
    <w:rsid w:val="41FE24E4"/>
    <w:rsid w:val="42AF1224"/>
    <w:rsid w:val="42E56741"/>
    <w:rsid w:val="432D3F8B"/>
    <w:rsid w:val="4344247A"/>
    <w:rsid w:val="438F6E9F"/>
    <w:rsid w:val="439044DA"/>
    <w:rsid w:val="43B537C4"/>
    <w:rsid w:val="43FD37FD"/>
    <w:rsid w:val="44332EB9"/>
    <w:rsid w:val="446D74FE"/>
    <w:rsid w:val="44947F89"/>
    <w:rsid w:val="452A3C6D"/>
    <w:rsid w:val="453B56EC"/>
    <w:rsid w:val="45FD5F44"/>
    <w:rsid w:val="463772A0"/>
    <w:rsid w:val="46E3576F"/>
    <w:rsid w:val="482F15AC"/>
    <w:rsid w:val="48511C2A"/>
    <w:rsid w:val="48C13A03"/>
    <w:rsid w:val="49CD1492"/>
    <w:rsid w:val="4A03774D"/>
    <w:rsid w:val="4A2713EE"/>
    <w:rsid w:val="4AD35CEF"/>
    <w:rsid w:val="4AEE3EA2"/>
    <w:rsid w:val="4B9C5C1F"/>
    <w:rsid w:val="4C3D1A31"/>
    <w:rsid w:val="4C4F2E22"/>
    <w:rsid w:val="4CBC17B2"/>
    <w:rsid w:val="4D254E36"/>
    <w:rsid w:val="4E077D0D"/>
    <w:rsid w:val="4E8224BE"/>
    <w:rsid w:val="4EAA75D1"/>
    <w:rsid w:val="4ECE3C1F"/>
    <w:rsid w:val="4F644C33"/>
    <w:rsid w:val="508B1216"/>
    <w:rsid w:val="50A827EE"/>
    <w:rsid w:val="50AA433C"/>
    <w:rsid w:val="51623667"/>
    <w:rsid w:val="51F11765"/>
    <w:rsid w:val="52A038B8"/>
    <w:rsid w:val="52BD0D8F"/>
    <w:rsid w:val="537501A6"/>
    <w:rsid w:val="548A62D2"/>
    <w:rsid w:val="54E363A9"/>
    <w:rsid w:val="54F40563"/>
    <w:rsid w:val="555A5F96"/>
    <w:rsid w:val="55614A05"/>
    <w:rsid w:val="55D10D55"/>
    <w:rsid w:val="56564BA8"/>
    <w:rsid w:val="56A3720D"/>
    <w:rsid w:val="56A75BA9"/>
    <w:rsid w:val="57F01092"/>
    <w:rsid w:val="58D65F45"/>
    <w:rsid w:val="5AE5325D"/>
    <w:rsid w:val="5BB75E94"/>
    <w:rsid w:val="5BDC6E04"/>
    <w:rsid w:val="5BDD2E63"/>
    <w:rsid w:val="5D017031"/>
    <w:rsid w:val="5D371509"/>
    <w:rsid w:val="5D3E7780"/>
    <w:rsid w:val="5D86638E"/>
    <w:rsid w:val="5DB07422"/>
    <w:rsid w:val="5DB21AEF"/>
    <w:rsid w:val="5E132EB1"/>
    <w:rsid w:val="5E843DA3"/>
    <w:rsid w:val="5E890C86"/>
    <w:rsid w:val="5F5A3FDA"/>
    <w:rsid w:val="5FBD21E6"/>
    <w:rsid w:val="605B5220"/>
    <w:rsid w:val="6129462B"/>
    <w:rsid w:val="61DE209B"/>
    <w:rsid w:val="62B27431"/>
    <w:rsid w:val="63897D89"/>
    <w:rsid w:val="63AB31A6"/>
    <w:rsid w:val="63D6700B"/>
    <w:rsid w:val="646B4E31"/>
    <w:rsid w:val="652B1A76"/>
    <w:rsid w:val="66D04EDA"/>
    <w:rsid w:val="675212CE"/>
    <w:rsid w:val="67B453FF"/>
    <w:rsid w:val="67CE7ED7"/>
    <w:rsid w:val="686F1CA0"/>
    <w:rsid w:val="68C76246"/>
    <w:rsid w:val="68FB63F8"/>
    <w:rsid w:val="69AB2E23"/>
    <w:rsid w:val="69D754F6"/>
    <w:rsid w:val="6A5D050F"/>
    <w:rsid w:val="6ACA39E0"/>
    <w:rsid w:val="6B6B7000"/>
    <w:rsid w:val="6BB3681E"/>
    <w:rsid w:val="6BB70DAF"/>
    <w:rsid w:val="6BC46959"/>
    <w:rsid w:val="6C645EC9"/>
    <w:rsid w:val="6C7D6D57"/>
    <w:rsid w:val="6CCB193A"/>
    <w:rsid w:val="6D2E181F"/>
    <w:rsid w:val="6D5D54A8"/>
    <w:rsid w:val="6D8B13D3"/>
    <w:rsid w:val="6DB24106"/>
    <w:rsid w:val="6DBB3951"/>
    <w:rsid w:val="6DF079BE"/>
    <w:rsid w:val="6E28277C"/>
    <w:rsid w:val="6F955F76"/>
    <w:rsid w:val="71150673"/>
    <w:rsid w:val="71543B6D"/>
    <w:rsid w:val="72003A0A"/>
    <w:rsid w:val="733726F8"/>
    <w:rsid w:val="74263607"/>
    <w:rsid w:val="74DC6A64"/>
    <w:rsid w:val="74FE7F26"/>
    <w:rsid w:val="75152861"/>
    <w:rsid w:val="75AD567C"/>
    <w:rsid w:val="784326F3"/>
    <w:rsid w:val="787F1479"/>
    <w:rsid w:val="792C11F5"/>
    <w:rsid w:val="79B14B8F"/>
    <w:rsid w:val="79CB31FE"/>
    <w:rsid w:val="79E3773F"/>
    <w:rsid w:val="79F33184"/>
    <w:rsid w:val="7B252597"/>
    <w:rsid w:val="7B502854"/>
    <w:rsid w:val="7BB3772B"/>
    <w:rsid w:val="7C437A3F"/>
    <w:rsid w:val="7C5F6207"/>
    <w:rsid w:val="7CAF3722"/>
    <w:rsid w:val="7CB25D75"/>
    <w:rsid w:val="7D007729"/>
    <w:rsid w:val="7D896DA6"/>
    <w:rsid w:val="7DB55168"/>
    <w:rsid w:val="7DC84D6A"/>
    <w:rsid w:val="7EBC0FC3"/>
    <w:rsid w:val="7EC47CF4"/>
    <w:rsid w:val="7F964C4A"/>
    <w:rsid w:val="7FD32A27"/>
    <w:rsid w:val="7FD670AD"/>
    <w:rsid w:val="7FEE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qFormat/>
    <w:uiPriority w:val="0"/>
    <w:rPr>
      <w:kern w:val="2"/>
      <w:sz w:val="18"/>
      <w:szCs w:val="18"/>
    </w:rPr>
  </w:style>
  <w:style w:type="character" w:customStyle="1" w:styleId="8">
    <w:name w:val="font11"/>
    <w:basedOn w:val="6"/>
    <w:qFormat/>
    <w:uiPriority w:val="0"/>
    <w:rPr>
      <w:rFonts w:hint="eastAsia" w:ascii="仿宋_GB2312" w:eastAsia="仿宋_GB2312" w:cs="仿宋_GB2312"/>
      <w:color w:val="000000"/>
      <w:sz w:val="28"/>
      <w:szCs w:val="28"/>
      <w:u w:val="none"/>
    </w:rPr>
  </w:style>
  <w:style w:type="character" w:customStyle="1" w:styleId="9">
    <w:name w:val="font41"/>
    <w:basedOn w:val="6"/>
    <w:qFormat/>
    <w:uiPriority w:val="0"/>
    <w:rPr>
      <w:rFonts w:hint="eastAsia" w:ascii="仿宋_GB2312" w:eastAsia="仿宋_GB2312" w:cs="仿宋_GB2312"/>
      <w:color w:val="000000"/>
      <w:sz w:val="28"/>
      <w:szCs w:val="28"/>
      <w:u w:val="none"/>
    </w:rPr>
  </w:style>
  <w:style w:type="character" w:customStyle="1" w:styleId="10">
    <w:name w:val="font21"/>
    <w:basedOn w:val="6"/>
    <w:qFormat/>
    <w:uiPriority w:val="0"/>
    <w:rPr>
      <w:rFonts w:hint="eastAsia" w:ascii="仿宋_GB2312" w:eastAsia="仿宋_GB2312" w:cs="仿宋_GB2312"/>
      <w:color w:val="000000"/>
      <w:sz w:val="26"/>
      <w:szCs w:val="26"/>
      <w:u w:val="none"/>
    </w:rPr>
  </w:style>
  <w:style w:type="character" w:customStyle="1" w:styleId="11">
    <w:name w:val="font81"/>
    <w:basedOn w:val="6"/>
    <w:qFormat/>
    <w:uiPriority w:val="0"/>
    <w:rPr>
      <w:rFonts w:hint="eastAsia" w:ascii="仿宋_GB2312" w:eastAsia="仿宋_GB2312" w:cs="仿宋_GB2312"/>
      <w:color w:val="000000"/>
      <w:sz w:val="26"/>
      <w:szCs w:val="26"/>
      <w:u w:val="none"/>
    </w:rPr>
  </w:style>
  <w:style w:type="character" w:customStyle="1" w:styleId="12">
    <w:name w:val="font51"/>
    <w:basedOn w:val="6"/>
    <w:qFormat/>
    <w:uiPriority w:val="0"/>
    <w:rPr>
      <w:rFonts w:hint="eastAsia" w:ascii="仿宋_GB2312" w:eastAsia="仿宋_GB2312" w:cs="仿宋_GB2312"/>
      <w:i/>
      <w:color w:val="000000"/>
      <w:sz w:val="28"/>
      <w:szCs w:val="28"/>
      <w:u w:val="none"/>
    </w:rPr>
  </w:style>
  <w:style w:type="character" w:customStyle="1" w:styleId="13">
    <w:name w:val="font61"/>
    <w:basedOn w:val="6"/>
    <w:uiPriority w:val="0"/>
    <w:rPr>
      <w:rFonts w:hint="eastAsia" w:ascii="仿宋_GB2312" w:eastAsia="仿宋_GB2312" w:cs="仿宋_GB2312"/>
      <w:color w:val="000000"/>
      <w:sz w:val="28"/>
      <w:szCs w:val="28"/>
      <w:u w:val="none"/>
    </w:rPr>
  </w:style>
  <w:style w:type="character" w:customStyle="1" w:styleId="14">
    <w:name w:val="font71"/>
    <w:basedOn w:val="6"/>
    <w:uiPriority w:val="0"/>
    <w:rPr>
      <w:rFonts w:hint="eastAsia" w:ascii="仿宋_GB2312" w:eastAsia="仿宋_GB2312" w:cs="仿宋_GB2312"/>
      <w:color w:val="000000"/>
      <w:sz w:val="26"/>
      <w:szCs w:val="26"/>
      <w:u w:val="none"/>
    </w:rPr>
  </w:style>
  <w:style w:type="character" w:customStyle="1" w:styleId="15">
    <w:name w:val="页眉 字符"/>
    <w:basedOn w:val="6"/>
    <w:link w:val="4"/>
    <w:uiPriority w:val="0"/>
    <w:rPr>
      <w:kern w:val="2"/>
      <w:sz w:val="18"/>
      <w:szCs w:val="18"/>
    </w:rPr>
  </w:style>
  <w:style w:type="character" w:customStyle="1" w:styleId="16">
    <w:name w:val="页脚 字符"/>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470</Words>
  <Characters>2684</Characters>
  <Lines>22</Lines>
  <Paragraphs>6</Paragraphs>
  <TotalTime>0</TotalTime>
  <ScaleCrop>false</ScaleCrop>
  <LinksUpToDate>false</LinksUpToDate>
  <CharactersWithSpaces>3148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2020-11-27T09:40:00Z</dcterms:created>
  <dc:creator>ThinkPad</dc:creator>
  <cp:lastModifiedBy>王伟波</cp:lastModifiedBy>
  <cp:lastPrinted>2021-05-18T07:11:00Z</cp:lastPrinted>
  <dcterms:modified xsi:type="dcterms:W3CDTF">2022-06-20T01:44:54Z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